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4E" w:rsidRPr="008B062A" w:rsidRDefault="0017184E" w:rsidP="0017184E">
      <w:pPr>
        <w:pStyle w:val="a3"/>
        <w:rPr>
          <w:b/>
          <w:bCs/>
          <w:color w:val="000080"/>
          <w:sz w:val="28"/>
        </w:rPr>
      </w:pPr>
      <w:r w:rsidRPr="008B062A">
        <w:rPr>
          <w:color w:val="00008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0</wp:posOffset>
            </wp:positionV>
            <wp:extent cx="12192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263" y="21060"/>
                <wp:lineTo x="21263" y="0"/>
                <wp:lineTo x="0" y="0"/>
              </wp:wrapPolygon>
            </wp:wrapTight>
            <wp:docPr id="2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32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-31115</wp:posOffset>
            </wp:positionV>
            <wp:extent cx="1236345" cy="612140"/>
            <wp:effectExtent l="0" t="0" r="1905" b="0"/>
            <wp:wrapNone/>
            <wp:docPr id="3" name="תמונה 3" descr="C:\Users\rozene\AppData\Local\Microsoft\Windows\Temporary Internet Files\Content.Outlook\KU7QP8AE\Logo Rishu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rozene\AppData\Local\Microsoft\Windows\Temporary Internet Files\Content.Outlook\KU7QP8AE\Logo Rishuy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  </w:t>
      </w: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  <w:r>
        <w:rPr>
          <w:rFonts w:cs="David"/>
          <w:sz w:val="28"/>
          <w:rtl/>
        </w:rPr>
        <w:fldChar w:fldCharType="begin"/>
      </w:r>
      <w:r>
        <w:rPr>
          <w:rFonts w:cs="David"/>
          <w:sz w:val="28"/>
          <w:rtl/>
        </w:rPr>
        <w:instrText xml:space="preserve"> </w:instrText>
      </w:r>
      <w:r>
        <w:rPr>
          <w:rFonts w:cs="David"/>
          <w:sz w:val="28"/>
        </w:rPr>
        <w:instrText>DATE</w:instrText>
      </w:r>
      <w:r>
        <w:rPr>
          <w:rFonts w:cs="David"/>
          <w:sz w:val="28"/>
          <w:rtl/>
        </w:rPr>
        <w:instrText xml:space="preserve"> \@ "</w:instrText>
      </w:r>
      <w:r>
        <w:rPr>
          <w:rFonts w:cs="David"/>
          <w:sz w:val="28"/>
        </w:rPr>
        <w:instrText>d MMMM, yyyy" \h</w:instrText>
      </w:r>
      <w:r>
        <w:rPr>
          <w:rFonts w:cs="David"/>
          <w:sz w:val="28"/>
          <w:rtl/>
        </w:rPr>
        <w:instrText xml:space="preserve"> </w:instrText>
      </w:r>
      <w:r>
        <w:rPr>
          <w:rFonts w:cs="David"/>
          <w:sz w:val="28"/>
          <w:rtl/>
        </w:rPr>
        <w:fldChar w:fldCharType="separate"/>
      </w:r>
      <w:r w:rsidR="004579C3">
        <w:rPr>
          <w:rFonts w:cs="David"/>
          <w:sz w:val="28"/>
          <w:rtl/>
        </w:rPr>
        <w:t>‏כ"ה ניסן, תש"פ</w:t>
      </w:r>
      <w:r>
        <w:rPr>
          <w:rFonts w:cs="David"/>
          <w:sz w:val="28"/>
          <w:rtl/>
        </w:rPr>
        <w:fldChar w:fldCharType="end"/>
      </w:r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</w:t>
      </w:r>
      <w:r>
        <w:rPr>
          <w:rFonts w:cs="David"/>
          <w:sz w:val="28"/>
          <w:rtl/>
        </w:rPr>
        <w:fldChar w:fldCharType="begin"/>
      </w:r>
      <w:r>
        <w:rPr>
          <w:rFonts w:cs="David"/>
          <w:sz w:val="28"/>
          <w:rtl/>
        </w:rPr>
        <w:instrText xml:space="preserve"> </w:instrText>
      </w:r>
      <w:r>
        <w:rPr>
          <w:rFonts w:cs="David"/>
          <w:sz w:val="28"/>
        </w:rPr>
        <w:instrText>DATE</w:instrText>
      </w:r>
      <w:r>
        <w:rPr>
          <w:rFonts w:cs="David"/>
          <w:sz w:val="28"/>
          <w:rtl/>
        </w:rPr>
        <w:instrText xml:space="preserve"> \@ "</w:instrText>
      </w:r>
      <w:r>
        <w:rPr>
          <w:rFonts w:cs="David"/>
          <w:sz w:val="28"/>
        </w:rPr>
        <w:instrText>d MMMM, yyyy</w:instrText>
      </w:r>
      <w:r>
        <w:rPr>
          <w:rFonts w:cs="David"/>
          <w:sz w:val="28"/>
          <w:rtl/>
        </w:rPr>
        <w:instrText xml:space="preserve">" </w:instrText>
      </w:r>
      <w:r>
        <w:rPr>
          <w:rFonts w:cs="David"/>
          <w:sz w:val="28"/>
          <w:rtl/>
        </w:rPr>
        <w:fldChar w:fldCharType="separate"/>
      </w:r>
      <w:r w:rsidR="004579C3">
        <w:rPr>
          <w:rFonts w:cs="David"/>
          <w:sz w:val="28"/>
          <w:rtl/>
        </w:rPr>
        <w:t>‏19 אפריל, 2020</w:t>
      </w:r>
      <w:r>
        <w:rPr>
          <w:rFonts w:cs="David"/>
          <w:sz w:val="28"/>
          <w:rtl/>
        </w:rPr>
        <w:fldChar w:fldCharType="end"/>
      </w:r>
    </w:p>
    <w:p w:rsidR="0017184E" w:rsidRP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סימוכין: </w:t>
      </w:r>
      <w:bookmarkStart w:id="0" w:name="AutoNumber"/>
      <w:r>
        <w:rPr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</w:rPr>
        <w:instrText>FORMTEXT</w:instrText>
      </w:r>
      <w:r>
        <w:rPr>
          <w:sz w:val="24"/>
          <w:szCs w:val="24"/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sz w:val="24"/>
          <w:szCs w:val="24"/>
          <w:rtl/>
        </w:rPr>
        <w:t>23356717</w:t>
      </w:r>
      <w:r>
        <w:rPr>
          <w:rtl/>
        </w:rPr>
        <w:fldChar w:fldCharType="end"/>
      </w:r>
      <w:bookmarkEnd w:id="0"/>
    </w:p>
    <w:p w:rsidR="0017184E" w:rsidRDefault="0017184E" w:rsidP="0017184E">
      <w:pPr>
        <w:pStyle w:val="a3"/>
        <w:tabs>
          <w:tab w:val="left" w:pos="720"/>
        </w:tabs>
        <w:ind w:left="5040" w:firstLine="11"/>
        <w:rPr>
          <w:rFonts w:cs="David"/>
          <w:sz w:val="28"/>
          <w:rtl/>
        </w:rPr>
      </w:pPr>
    </w:p>
    <w:p w:rsidR="0017184E" w:rsidRDefault="0017184E" w:rsidP="0017184E">
      <w:pPr>
        <w:rPr>
          <w:rFonts w:cs="David"/>
          <w:sz w:val="28"/>
          <w:rtl/>
        </w:rPr>
      </w:pP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>אל:</w:t>
      </w:r>
      <w:r>
        <w:rPr>
          <w:rFonts w:cs="David"/>
          <w:sz w:val="28"/>
          <w:rtl/>
        </w:rPr>
        <w:tab/>
        <w:t>מנהלי מחוזות הרישוי</w:t>
      </w:r>
    </w:p>
    <w:p w:rsidR="0017184E" w:rsidRDefault="0017184E" w:rsidP="0017184E">
      <w:pPr>
        <w:ind w:firstLine="720"/>
        <w:rPr>
          <w:rFonts w:cs="David"/>
          <w:sz w:val="28"/>
          <w:rtl/>
        </w:rPr>
      </w:pPr>
      <w:r>
        <w:rPr>
          <w:rFonts w:cs="David"/>
          <w:sz w:val="28"/>
          <w:rtl/>
        </w:rPr>
        <w:t>מנהלי סניפים</w:t>
      </w:r>
    </w:p>
    <w:p w:rsidR="0017184E" w:rsidRDefault="0017184E" w:rsidP="0017184E">
      <w:pPr>
        <w:ind w:firstLine="720"/>
        <w:rPr>
          <w:rFonts w:cs="David"/>
          <w:sz w:val="28"/>
          <w:rtl/>
        </w:rPr>
      </w:pPr>
      <w:r>
        <w:rPr>
          <w:rFonts w:cs="David"/>
          <w:sz w:val="28"/>
          <w:rtl/>
        </w:rPr>
        <w:t>מנהל</w:t>
      </w:r>
      <w:r w:rsidR="00445200">
        <w:rPr>
          <w:rFonts w:cs="David" w:hint="cs"/>
          <w:sz w:val="28"/>
          <w:rtl/>
        </w:rPr>
        <w:t xml:space="preserve"> אגף התקשוב</w:t>
      </w:r>
    </w:p>
    <w:p w:rsidR="0017184E" w:rsidRDefault="0017184E" w:rsidP="0017184E">
      <w:pPr>
        <w:ind w:firstLine="720"/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מנהל אגף הרכב </w:t>
      </w:r>
    </w:p>
    <w:p w:rsidR="0017184E" w:rsidRDefault="0017184E" w:rsidP="0017184E">
      <w:pPr>
        <w:ind w:firstLine="720"/>
        <w:rPr>
          <w:rFonts w:cs="David"/>
          <w:sz w:val="28"/>
          <w:rtl/>
        </w:rPr>
      </w:pPr>
      <w:r>
        <w:rPr>
          <w:rFonts w:cs="David"/>
          <w:sz w:val="28"/>
          <w:rtl/>
        </w:rPr>
        <w:t>מנהלת מחלקת עדכון ובקרה</w:t>
      </w:r>
    </w:p>
    <w:p w:rsidR="0017184E" w:rsidRDefault="0017184E" w:rsidP="0017184E">
      <w:pPr>
        <w:ind w:firstLine="720"/>
        <w:rPr>
          <w:rFonts w:cs="David"/>
          <w:sz w:val="28"/>
          <w:rtl/>
        </w:rPr>
      </w:pPr>
      <w:r>
        <w:rPr>
          <w:rFonts w:cs="David"/>
          <w:sz w:val="28"/>
          <w:rtl/>
        </w:rPr>
        <w:t>מנהלת מחלקת מרכז מידע ארצי</w:t>
      </w:r>
    </w:p>
    <w:p w:rsidR="0017184E" w:rsidRDefault="0017184E" w:rsidP="0017184E">
      <w:pPr>
        <w:rPr>
          <w:rFonts w:cs="David"/>
          <w:sz w:val="28"/>
          <w:rtl/>
        </w:rPr>
      </w:pP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>לידיעת: שר התחבורה</w:t>
      </w: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            המנהל הכללי</w:t>
      </w: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            סמנכ"ל בכיר תנועה</w:t>
      </w: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            הנהלת משרד התחבורה</w:t>
      </w:r>
    </w:p>
    <w:p w:rsidR="0017184E" w:rsidRDefault="0017184E" w:rsidP="0017184E">
      <w:pPr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             הלשכה המשפטית</w:t>
      </w:r>
    </w:p>
    <w:p w:rsidR="0017184E" w:rsidRDefault="0017184E" w:rsidP="0017184E">
      <w:pPr>
        <w:pBdr>
          <w:bottom w:val="single" w:sz="6" w:space="1" w:color="auto"/>
        </w:pBdr>
        <w:rPr>
          <w:rFonts w:cs="David"/>
          <w:sz w:val="28"/>
          <w:rtl/>
        </w:rPr>
      </w:pPr>
    </w:p>
    <w:p w:rsidR="0017184E" w:rsidRDefault="0017184E" w:rsidP="004579C3">
      <w:pPr>
        <w:pBdr>
          <w:bottom w:val="single" w:sz="12" w:space="1" w:color="auto"/>
        </w:pBdr>
        <w:rPr>
          <w:rFonts w:cs="David"/>
          <w:b/>
          <w:bCs/>
          <w:sz w:val="28"/>
          <w:rtl/>
        </w:rPr>
      </w:pPr>
      <w:r>
        <w:rPr>
          <w:rFonts w:cs="David"/>
          <w:sz w:val="28"/>
          <w:rtl/>
        </w:rPr>
        <w:t xml:space="preserve">הוראת נוהל מס' </w:t>
      </w:r>
      <w:r w:rsidR="004579C3">
        <w:rPr>
          <w:rFonts w:cs="David" w:hint="cs"/>
          <w:b/>
          <w:bCs/>
          <w:sz w:val="28"/>
          <w:rtl/>
        </w:rPr>
        <w:t xml:space="preserve">  2/2020</w:t>
      </w:r>
      <w:r w:rsidR="004579C3">
        <w:rPr>
          <w:rFonts w:cs="David"/>
          <w:b/>
          <w:bCs/>
          <w:sz w:val="28"/>
          <w:rtl/>
        </w:rPr>
        <w:tab/>
      </w:r>
      <w:r w:rsidR="004579C3">
        <w:rPr>
          <w:rFonts w:cs="David"/>
          <w:b/>
          <w:bCs/>
          <w:sz w:val="28"/>
          <w:rtl/>
        </w:rPr>
        <w:tab/>
      </w:r>
      <w:r w:rsidR="004579C3">
        <w:rPr>
          <w:rFonts w:cs="David" w:hint="cs"/>
          <w:b/>
          <w:bCs/>
          <w:sz w:val="28"/>
          <w:rtl/>
        </w:rPr>
        <w:t>כה' באייר, תש"פ -</w:t>
      </w:r>
      <w:bookmarkStart w:id="1" w:name="_GoBack"/>
      <w:bookmarkEnd w:id="1"/>
      <w:r w:rsidR="004579C3">
        <w:rPr>
          <w:rFonts w:cs="David" w:hint="cs"/>
          <w:b/>
          <w:bCs/>
          <w:sz w:val="28"/>
          <w:rtl/>
        </w:rPr>
        <w:t xml:space="preserve"> 19 באפריל, 2020</w:t>
      </w:r>
      <w:r w:rsidR="004579C3">
        <w:rPr>
          <w:rFonts w:cs="David"/>
          <w:b/>
          <w:bCs/>
          <w:sz w:val="28"/>
          <w:rtl/>
        </w:rPr>
        <w:tab/>
      </w:r>
      <w:r w:rsidR="004579C3">
        <w:rPr>
          <w:rFonts w:cs="David"/>
          <w:b/>
          <w:bCs/>
          <w:sz w:val="28"/>
          <w:rtl/>
        </w:rPr>
        <w:tab/>
      </w:r>
      <w:r w:rsidR="004579C3">
        <w:rPr>
          <w:rFonts w:cs="David"/>
          <w:b/>
          <w:bCs/>
          <w:sz w:val="28"/>
          <w:rtl/>
        </w:rPr>
        <w:tab/>
      </w:r>
      <w:r w:rsidR="004579C3"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  <w:t xml:space="preserve">                                                                                 </w:t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</w:r>
      <w:r>
        <w:rPr>
          <w:rFonts w:cs="David"/>
          <w:b/>
          <w:bCs/>
          <w:sz w:val="28"/>
          <w:rtl/>
        </w:rPr>
        <w:tab/>
        <w:t xml:space="preserve"> </w:t>
      </w:r>
    </w:p>
    <w:p w:rsidR="0017184E" w:rsidRDefault="0017184E" w:rsidP="0017184E">
      <w:pPr>
        <w:rPr>
          <w:rFonts w:cs="David"/>
          <w:sz w:val="28"/>
          <w:rtl/>
        </w:rPr>
      </w:pPr>
    </w:p>
    <w:p w:rsidR="0017184E" w:rsidRDefault="0017184E" w:rsidP="0017184E">
      <w:pPr>
        <w:rPr>
          <w:rFonts w:cs="David"/>
          <w:sz w:val="28"/>
          <w:rtl/>
        </w:rPr>
      </w:pPr>
    </w:p>
    <w:p w:rsidR="0017184E" w:rsidRDefault="0017184E" w:rsidP="0017184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rtl/>
        </w:rPr>
        <w:t xml:space="preserve">הנדון: </w:t>
      </w:r>
      <w:r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27821">
        <w:rPr>
          <w:rFonts w:cs="David" w:hint="cs"/>
          <w:b/>
          <w:bCs/>
          <w:sz w:val="32"/>
          <w:szCs w:val="32"/>
          <w:u w:val="single"/>
          <w:rtl/>
        </w:rPr>
        <w:t xml:space="preserve">רישום לראשונה של גרורים ונתמכים </w:t>
      </w:r>
    </w:p>
    <w:p w:rsidR="0017184E" w:rsidRDefault="0017184E" w:rsidP="0017184E">
      <w:pPr>
        <w:rPr>
          <w:rFonts w:cs="David"/>
          <w:sz w:val="28"/>
          <w:u w:val="single"/>
          <w:rtl/>
        </w:rPr>
      </w:pPr>
    </w:p>
    <w:p w:rsidR="0017184E" w:rsidRDefault="0017184E" w:rsidP="0017184E">
      <w:pPr>
        <w:rPr>
          <w:rFonts w:cs="David"/>
          <w:b/>
          <w:bCs/>
          <w:sz w:val="28"/>
          <w:u w:val="single"/>
          <w:rtl/>
        </w:rPr>
      </w:pPr>
    </w:p>
    <w:p w:rsidR="0017184E" w:rsidRPr="00427821" w:rsidRDefault="0017184E" w:rsidP="0017184E">
      <w:pPr>
        <w:numPr>
          <w:ilvl w:val="0"/>
          <w:numId w:val="1"/>
        </w:numPr>
        <w:rPr>
          <w:rFonts w:cs="David"/>
          <w:b/>
          <w:bCs/>
          <w:sz w:val="32"/>
          <w:szCs w:val="32"/>
          <w:u w:val="single"/>
          <w:rtl/>
        </w:rPr>
      </w:pPr>
      <w:r w:rsidRPr="00427821">
        <w:rPr>
          <w:rFonts w:cs="David"/>
          <w:b/>
          <w:bCs/>
          <w:sz w:val="32"/>
          <w:szCs w:val="32"/>
          <w:u w:val="single"/>
          <w:rtl/>
        </w:rPr>
        <w:t>מבוא</w:t>
      </w:r>
    </w:p>
    <w:p w:rsidR="0017184E" w:rsidRDefault="0017184E" w:rsidP="0017184E">
      <w:pPr>
        <w:rPr>
          <w:rFonts w:cs="David"/>
          <w:b/>
          <w:bCs/>
          <w:sz w:val="28"/>
          <w:u w:val="single"/>
          <w:rtl/>
        </w:rPr>
      </w:pPr>
    </w:p>
    <w:p w:rsidR="005C2F7A" w:rsidRDefault="00427821" w:rsidP="005C2F7A">
      <w:pPr>
        <w:jc w:val="both"/>
        <w:rPr>
          <w:rFonts w:cs="David"/>
          <w:sz w:val="28"/>
          <w:rtl/>
        </w:rPr>
      </w:pPr>
      <w:r w:rsidRPr="00427821">
        <w:rPr>
          <w:rFonts w:cs="David" w:hint="cs"/>
          <w:sz w:val="28"/>
          <w:rtl/>
        </w:rPr>
        <w:t xml:space="preserve">כחלק </w:t>
      </w:r>
      <w:r w:rsidR="005C2F7A">
        <w:rPr>
          <w:rFonts w:cs="David" w:hint="cs"/>
          <w:sz w:val="28"/>
          <w:rtl/>
        </w:rPr>
        <w:t>מתכנית מקיפה ל</w:t>
      </w:r>
      <w:r w:rsidRPr="00427821">
        <w:rPr>
          <w:rFonts w:cs="David" w:hint="cs"/>
          <w:sz w:val="28"/>
          <w:rtl/>
        </w:rPr>
        <w:t>ייעול ושיפור</w:t>
      </w:r>
      <w:r w:rsidR="005C2F7A">
        <w:rPr>
          <w:rFonts w:cs="David" w:hint="cs"/>
          <w:sz w:val="28"/>
          <w:rtl/>
        </w:rPr>
        <w:t xml:space="preserve"> השירות לאזרח, צמצום הבירוקרטיה והרצון </w:t>
      </w:r>
      <w:r w:rsidRPr="00427821">
        <w:rPr>
          <w:rFonts w:cs="David" w:hint="cs"/>
          <w:sz w:val="28"/>
          <w:rtl/>
        </w:rPr>
        <w:t>להביא לכך שכלל ה</w:t>
      </w:r>
      <w:r w:rsidR="005C2F7A">
        <w:rPr>
          <w:rFonts w:cs="David" w:hint="cs"/>
          <w:sz w:val="28"/>
          <w:rtl/>
        </w:rPr>
        <w:t xml:space="preserve">בדיקות לרבות הרישום הראשוני ושינויי המבנה </w:t>
      </w:r>
      <w:r w:rsidRPr="00427821">
        <w:rPr>
          <w:rFonts w:cs="David" w:hint="cs"/>
          <w:sz w:val="28"/>
          <w:rtl/>
        </w:rPr>
        <w:t>יתחילו ויסתיימו תחת קורת גג אחת אצל הגורם המקצועי</w:t>
      </w:r>
      <w:r w:rsidR="005C2F7A">
        <w:rPr>
          <w:rFonts w:cs="David" w:hint="cs"/>
          <w:sz w:val="28"/>
          <w:rtl/>
        </w:rPr>
        <w:t xml:space="preserve">. הוחלט על ידי הנהלת המשרד כי בעיצומו של "משבר הקורונה", עלה צורך קיומי של ענפי משק שונים לקבלת שירות מיידי אשר יסייע להם בהנעת גלגלי המשק. </w:t>
      </w:r>
    </w:p>
    <w:p w:rsidR="005C2F7A" w:rsidRDefault="005C2F7A" w:rsidP="005C2F7A">
      <w:pPr>
        <w:jc w:val="both"/>
        <w:rPr>
          <w:rFonts w:cs="David"/>
          <w:sz w:val="28"/>
          <w:rtl/>
        </w:rPr>
      </w:pPr>
    </w:p>
    <w:p w:rsidR="00427821" w:rsidRDefault="005C2F7A" w:rsidP="005C2F7A">
      <w:pPr>
        <w:jc w:val="both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לאור האמור, הוחלט לאפשר למעבדות המוסמכות לבצע את הבדיקות הנדרשות הן לצורך רישום והן לצורך בדיקות של שינוי מבנה לנתמכים ונגררים.</w:t>
      </w:r>
    </w:p>
    <w:p w:rsidR="005C2F7A" w:rsidRDefault="005C2F7A" w:rsidP="005C2F7A">
      <w:pPr>
        <w:jc w:val="both"/>
        <w:rPr>
          <w:rFonts w:cs="David"/>
          <w:sz w:val="28"/>
          <w:rtl/>
        </w:rPr>
      </w:pPr>
    </w:p>
    <w:p w:rsidR="005C2F7A" w:rsidRDefault="005C2F7A" w:rsidP="005C2F7A">
      <w:pPr>
        <w:jc w:val="both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תוצאות הבדיקות וכל הניירת לצורך רישום לראשונה תועבר לאגף הרישוי והאחרון ינפיק רישיונות בכפוף לבדיקות שנעשו.</w:t>
      </w:r>
    </w:p>
    <w:p w:rsidR="001F4763" w:rsidRDefault="001F4763" w:rsidP="005C2F7A">
      <w:pPr>
        <w:jc w:val="both"/>
        <w:rPr>
          <w:rFonts w:cs="David"/>
          <w:sz w:val="28"/>
          <w:rtl/>
        </w:rPr>
      </w:pPr>
    </w:p>
    <w:p w:rsidR="001F4763" w:rsidRPr="00427821" w:rsidRDefault="001F4763" w:rsidP="005C2F7A">
      <w:pPr>
        <w:jc w:val="both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כל הגופים שקיבלו הסמכה לביצוע רישום ראשוני ימשיכו לבצע. ההוראה האמורה היא לכל מי שאין לו הסמכה לבצע רישום ראשוני או שינוי מבנה.</w:t>
      </w:r>
    </w:p>
    <w:p w:rsidR="00427821" w:rsidRPr="00427821" w:rsidRDefault="00427821" w:rsidP="005C2F7A">
      <w:pPr>
        <w:jc w:val="both"/>
        <w:rPr>
          <w:rFonts w:cs="David"/>
          <w:sz w:val="28"/>
          <w:rtl/>
        </w:rPr>
      </w:pPr>
    </w:p>
    <w:p w:rsidR="00427821" w:rsidRDefault="00427821" w:rsidP="005C2F7A">
      <w:pPr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427821">
        <w:rPr>
          <w:rFonts w:cs="David" w:hint="cs"/>
          <w:b/>
          <w:bCs/>
          <w:sz w:val="32"/>
          <w:szCs w:val="32"/>
          <w:u w:val="single"/>
          <w:rtl/>
        </w:rPr>
        <w:t>הגדרות:</w:t>
      </w:r>
    </w:p>
    <w:p w:rsidR="00427821" w:rsidRPr="00427821" w:rsidRDefault="00427821" w:rsidP="00427821">
      <w:pPr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1</w:t>
      </w:r>
      <w:r w:rsidRPr="00427821">
        <w:rPr>
          <w:rFonts w:cs="David" w:hint="cs"/>
          <w:b/>
          <w:bCs/>
          <w:sz w:val="28"/>
        </w:rPr>
        <w:t>O</w:t>
      </w:r>
      <w:r w:rsidRPr="00427821">
        <w:rPr>
          <w:rFonts w:cs="David" w:hint="cs"/>
          <w:b/>
          <w:bCs/>
          <w:sz w:val="28"/>
          <w:rtl/>
        </w:rPr>
        <w:t xml:space="preserve"> - גרור שמשקלו הכולל המותר עד 750 ק"ג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2</w:t>
      </w:r>
      <w:r w:rsidRPr="00427821">
        <w:rPr>
          <w:rFonts w:cs="David" w:hint="cs"/>
          <w:b/>
          <w:bCs/>
          <w:sz w:val="28"/>
        </w:rPr>
        <w:t>O</w:t>
      </w:r>
      <w:r w:rsidRPr="00427821">
        <w:rPr>
          <w:rFonts w:cs="David" w:hint="cs"/>
          <w:b/>
          <w:bCs/>
          <w:sz w:val="28"/>
          <w:rtl/>
        </w:rPr>
        <w:t xml:space="preserve"> </w:t>
      </w:r>
      <w:r w:rsidRPr="00427821">
        <w:rPr>
          <w:rFonts w:cs="David"/>
          <w:b/>
          <w:bCs/>
          <w:sz w:val="28"/>
          <w:rtl/>
        </w:rPr>
        <w:t>–</w:t>
      </w:r>
      <w:r w:rsidRPr="00427821">
        <w:rPr>
          <w:rFonts w:cs="David" w:hint="cs"/>
          <w:b/>
          <w:bCs/>
          <w:sz w:val="28"/>
          <w:rtl/>
        </w:rPr>
        <w:t xml:space="preserve"> גרור שמשקלו הכולל המותר עולה על 750 ק"ג אך אינו עולה על 3.500 ק"ג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u w:val="single"/>
          <w:rtl/>
        </w:rPr>
      </w:pPr>
      <w:r w:rsidRPr="00427821">
        <w:rPr>
          <w:rFonts w:cs="David" w:hint="cs"/>
          <w:b/>
          <w:bCs/>
          <w:sz w:val="28"/>
          <w:u w:val="single"/>
          <w:rtl/>
        </w:rPr>
        <w:t xml:space="preserve">בדיקות פיזיות </w:t>
      </w:r>
      <w:r w:rsidRPr="00427821">
        <w:rPr>
          <w:rFonts w:cs="David"/>
          <w:b/>
          <w:bCs/>
          <w:sz w:val="28"/>
          <w:u w:val="single"/>
          <w:rtl/>
        </w:rPr>
        <w:t>–</w:t>
      </w:r>
      <w:r w:rsidRPr="00427821">
        <w:rPr>
          <w:rFonts w:cs="David" w:hint="cs"/>
          <w:b/>
          <w:bCs/>
          <w:sz w:val="28"/>
          <w:u w:val="single"/>
          <w:rtl/>
        </w:rPr>
        <w:t xml:space="preserve"> רישום והעתקה על טופס 4+5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u w:val="single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רישום מס' שילדה במלואו לטופס רשל" 4+5</w:t>
      </w:r>
    </w:p>
    <w:p w:rsidR="00427821" w:rsidRPr="00427821" w:rsidRDefault="00427821" w:rsidP="00427821">
      <w:pPr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מס' שילדה טבוע של הרכב ואימות באמצעות טבלת זיהוי מקורית שהוצמדה לרכב על ידי יצרן הרכב</w:t>
      </w:r>
    </w:p>
    <w:p w:rsidR="00427821" w:rsidRPr="00427821" w:rsidRDefault="00427821" w:rsidP="00427821">
      <w:pPr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רישום גודל צמיגים קוד מהירות ועומס והתאמתו למאושר בהוראת הרישום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תווית כף ריתום ו/או בלם דחיפה "פוש בול" והתאמתו למשקל הנגרר בכפוף להוראת 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תווית יצרן הסרנים של הגרור והתאמתו להוראת רישום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רישום צבע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ציון סוג הגרור פתוח/סגור, בכפוף לרשום בהוראת הרישום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מידות </w:t>
      </w:r>
      <w:r w:rsidRPr="00427821">
        <w:rPr>
          <w:rFonts w:cs="David"/>
          <w:sz w:val="28"/>
          <w:rtl/>
        </w:rPr>
        <w:t>–</w:t>
      </w:r>
      <w:r w:rsidRPr="00427821">
        <w:rPr>
          <w:rFonts w:cs="David" w:hint="cs"/>
          <w:sz w:val="28"/>
          <w:rtl/>
        </w:rPr>
        <w:t xml:space="preserve"> לציין בגב הרש"ל 4+5 (בהתאמה לשרטוט המאושר על ידי מחלקת התקינה) והתאמתו להוראת רישום.</w:t>
      </w:r>
    </w:p>
    <w:p w:rsidR="00427821" w:rsidRPr="00427821" w:rsidRDefault="00427821" w:rsidP="00427821">
      <w:pPr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אורך כולל של הגרור והתאמתו להוראת 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אורך היצול והתאמתו להוראת 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רוחב הגרור כולל הכנפיים מעל הגלגלים והתאמתו להוראת 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לבצע חישוב חלוקת עומסים בהתאם למיקום מרכז כובד ובתנאי 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שלא יחרוג ממשקלים מותרים על הסרן/סרנים ועל כף הריתום.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בדיקת התאמת מידות ומשקלים של הגרור להוראת רישום ולשרטוט 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המצורף להוראת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אם בהוראת הרישום מופיעים תנאים נוספים של הצגת אישורים 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  <w:rtl/>
        </w:rPr>
      </w:pPr>
      <w:r w:rsidRPr="00427821">
        <w:rPr>
          <w:rFonts w:cs="David" w:hint="cs"/>
          <w:sz w:val="28"/>
          <w:rtl/>
        </w:rPr>
        <w:t>כלשהם לאביזרים והתקנים המותקנים בגרור, יש להציג אותם.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יש לרשום את קודי הגבלות התקינה כפי שהן מופיעים בהוראת 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  <w:rtl/>
        </w:rPr>
      </w:pPr>
      <w:r w:rsidRPr="00427821">
        <w:rPr>
          <w:rFonts w:cs="David" w:hint="cs"/>
          <w:sz w:val="28"/>
          <w:rtl/>
        </w:rPr>
        <w:t>הרישום בסעיף תנאים והגבלות ולהדפיס נספח לרישיון הרכב.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לציין מרכז כובד ע"י מדידת אורך משטח ההטענה הפנימי של הארגז </w:t>
      </w:r>
    </w:p>
    <w:p w:rsidR="00427821" w:rsidRPr="00427821" w:rsidRDefault="00427821" w:rsidP="00427821">
      <w:pPr>
        <w:ind w:left="720" w:firstLine="720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וחלוקה לשניים והתאמתו להוראת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ind w:left="1440"/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מרכז הכובד יהיה המרחק שבין אמצע הארגז ועד למרכז הסרן או הסרנים.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numPr>
          <w:ilvl w:val="0"/>
          <w:numId w:val="20"/>
        </w:num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sz w:val="28"/>
          <w:rtl/>
        </w:rPr>
        <w:t>גובה הגרור נמדד מפני הכביש ועד לנקודה הגבוהה ביותר של הגרור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יש לציין את הגבלות התקינה בדרך של קודים בהתאם לאמור בהוראת הרישום ורשימת הקודים של מחלקת התקינה.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יש לשקול את הגרור ולציין משקל כולל מותר, משקל עצמי ומשקל מורשה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427821">
        <w:rPr>
          <w:rFonts w:cs="David" w:hint="cs"/>
          <w:b/>
          <w:bCs/>
          <w:sz w:val="36"/>
          <w:szCs w:val="36"/>
          <w:u w:val="single"/>
          <w:rtl/>
        </w:rPr>
        <w:t>רישום ראשוני לגרורים ונתמכים מסוג 3</w:t>
      </w:r>
      <w:r w:rsidRPr="00427821">
        <w:rPr>
          <w:rFonts w:cs="David" w:hint="cs"/>
          <w:b/>
          <w:bCs/>
          <w:sz w:val="36"/>
          <w:szCs w:val="36"/>
          <w:u w:val="single"/>
        </w:rPr>
        <w:t>O</w:t>
      </w:r>
      <w:r w:rsidRPr="00427821">
        <w:rPr>
          <w:rFonts w:cs="David" w:hint="cs"/>
          <w:b/>
          <w:bCs/>
          <w:sz w:val="36"/>
          <w:szCs w:val="36"/>
          <w:u w:val="single"/>
          <w:rtl/>
        </w:rPr>
        <w:t xml:space="preserve"> ו-4</w:t>
      </w:r>
      <w:r w:rsidRPr="00427821">
        <w:rPr>
          <w:rFonts w:cs="David" w:hint="cs"/>
          <w:b/>
          <w:bCs/>
          <w:sz w:val="36"/>
          <w:szCs w:val="36"/>
          <w:u w:val="single"/>
        </w:rPr>
        <w:t>O</w:t>
      </w:r>
      <w:r w:rsidRPr="00427821">
        <w:rPr>
          <w:rFonts w:cs="David" w:hint="cs"/>
          <w:b/>
          <w:bCs/>
          <w:sz w:val="36"/>
          <w:szCs w:val="36"/>
          <w:u w:val="single"/>
          <w:rtl/>
        </w:rPr>
        <w:t xml:space="preserve"> יבואנים/יצרנים</w:t>
      </w:r>
    </w:p>
    <w:p w:rsidR="00427821" w:rsidRPr="00427821" w:rsidRDefault="00427821" w:rsidP="00427821">
      <w:pPr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32"/>
          <w:szCs w:val="32"/>
          <w:rtl/>
        </w:rPr>
      </w:pPr>
      <w:r w:rsidRPr="00427821">
        <w:rPr>
          <w:rFonts w:cs="David" w:hint="cs"/>
          <w:b/>
          <w:bCs/>
          <w:sz w:val="32"/>
          <w:szCs w:val="32"/>
          <w:rtl/>
        </w:rPr>
        <w:t>רישום במסגרת 24 חודשים ממועד הייצור/ ובכפוף לתקנה 282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הגדרות: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3</w:t>
      </w:r>
      <w:r w:rsidRPr="00427821">
        <w:rPr>
          <w:rFonts w:cs="David" w:hint="cs"/>
          <w:b/>
          <w:bCs/>
          <w:sz w:val="28"/>
        </w:rPr>
        <w:t>O</w:t>
      </w:r>
      <w:r w:rsidRPr="00427821">
        <w:rPr>
          <w:rFonts w:cs="David" w:hint="cs"/>
          <w:b/>
          <w:bCs/>
          <w:sz w:val="28"/>
          <w:rtl/>
        </w:rPr>
        <w:t xml:space="preserve"> - </w:t>
      </w:r>
      <w:r w:rsidRPr="00427821">
        <w:rPr>
          <w:rFonts w:cs="David" w:hint="cs"/>
          <w:sz w:val="28"/>
          <w:rtl/>
        </w:rPr>
        <w:t>גרור ונתמך שמשקלו הכולל המותר עולה על 3.500 ק"ג אך אינו עולה</w:t>
      </w:r>
    </w:p>
    <w:p w:rsidR="00427821" w:rsidRPr="00427821" w:rsidRDefault="00427821" w:rsidP="00427821">
      <w:pPr>
        <w:jc w:val="both"/>
        <w:rPr>
          <w:rFonts w:cs="David"/>
          <w:sz w:val="28"/>
          <w:rtl/>
        </w:rPr>
      </w:pPr>
      <w:r w:rsidRPr="00427821">
        <w:rPr>
          <w:rFonts w:cs="David" w:hint="cs"/>
          <w:sz w:val="28"/>
          <w:rtl/>
        </w:rPr>
        <w:t xml:space="preserve">          על 10.000 ק"ג</w:t>
      </w:r>
    </w:p>
    <w:p w:rsidR="00427821" w:rsidRPr="00427821" w:rsidRDefault="00427821" w:rsidP="00427821">
      <w:pPr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>4</w:t>
      </w:r>
      <w:r w:rsidRPr="00427821">
        <w:rPr>
          <w:rFonts w:cs="David" w:hint="cs"/>
          <w:b/>
          <w:bCs/>
          <w:sz w:val="28"/>
        </w:rPr>
        <w:t>O</w:t>
      </w:r>
      <w:r w:rsidRPr="00427821">
        <w:rPr>
          <w:rFonts w:cs="David" w:hint="cs"/>
          <w:b/>
          <w:bCs/>
          <w:sz w:val="28"/>
          <w:rtl/>
        </w:rPr>
        <w:t xml:space="preserve"> -  </w:t>
      </w:r>
      <w:r w:rsidRPr="00427821">
        <w:rPr>
          <w:rFonts w:cs="David" w:hint="cs"/>
          <w:sz w:val="28"/>
          <w:rtl/>
        </w:rPr>
        <w:t>גרור ונתמך שמשקלו הכולל המותר עולה על 10.000 ק"ג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u w:val="single"/>
          <w:rtl/>
        </w:rPr>
      </w:pPr>
      <w:r w:rsidRPr="00427821">
        <w:rPr>
          <w:rFonts w:cs="David" w:hint="cs"/>
          <w:b/>
          <w:bCs/>
          <w:sz w:val="28"/>
          <w:u w:val="single"/>
          <w:rtl/>
        </w:rPr>
        <w:t>סוגי גרורים - נתמכים</w:t>
      </w: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142"/>
      </w:tblGrid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פתוח/סגור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פתוח/סגור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ציוד חריג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ציוד חריג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קירור מבוקר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קירור מבוקר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למכולה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למכורה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ארגז חליפי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ארגז חליפי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רכין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רכין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מעבדה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גרור מעבדה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לחבלים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לחבלים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לצינורות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לצינורות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לתופי כבלים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לתופי כבלים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לריסוק גזם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לריסוק גזם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מנוף רהיטים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מנוף רהיטים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ארגז אשפה עם מנוף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ארגז אשפה עם מנוף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עבודה למשקל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עבודה למשקל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נייד, גנרטור,עבודה מיוחד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נייד, גנרטור, עבודה מיוחד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אבקה;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אבקה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lastRenderedPageBreak/>
              <w:t>גרור מיכל חלב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חלב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מים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מים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תערובת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תערובת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שמן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שמן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מזוט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מזוט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נוזל קורוזיבי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נוזל קורוזיבי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גז בקירור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גז בקירור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גז דליק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גז דליק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גז לא דליק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גז לא דליק</w:t>
            </w:r>
          </w:p>
        </w:tc>
      </w:tr>
      <w:tr w:rsidR="00427821" w:rsidRPr="00427821" w:rsidTr="00BE5A3D"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גרור מיכל גז רעיל</w:t>
            </w:r>
          </w:p>
        </w:tc>
        <w:tc>
          <w:tcPr>
            <w:tcW w:w="4264" w:type="dxa"/>
            <w:shd w:val="clear" w:color="auto" w:fill="auto"/>
          </w:tcPr>
          <w:p w:rsidR="00427821" w:rsidRPr="00427821" w:rsidRDefault="00427821" w:rsidP="00427821">
            <w:pPr>
              <w:jc w:val="both"/>
              <w:rPr>
                <w:rFonts w:cs="David"/>
                <w:sz w:val="28"/>
                <w:rtl/>
              </w:rPr>
            </w:pPr>
            <w:r w:rsidRPr="00427821">
              <w:rPr>
                <w:rFonts w:cs="David" w:hint="cs"/>
                <w:sz w:val="28"/>
                <w:rtl/>
              </w:rPr>
              <w:t>נתמך מיכל גז רעיל</w:t>
            </w:r>
          </w:p>
        </w:tc>
      </w:tr>
    </w:tbl>
    <w:p w:rsidR="00427821" w:rsidRPr="00427821" w:rsidRDefault="00427821" w:rsidP="00427821">
      <w:pPr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1F4763">
      <w:pPr>
        <w:jc w:val="both"/>
        <w:rPr>
          <w:rFonts w:cs="David"/>
          <w:sz w:val="28"/>
          <w:rtl/>
        </w:rPr>
      </w:pPr>
      <w:r w:rsidRPr="00427821">
        <w:rPr>
          <w:rFonts w:cs="David" w:hint="cs"/>
          <w:b/>
          <w:bCs/>
          <w:sz w:val="28"/>
          <w:rtl/>
        </w:rPr>
        <w:t xml:space="preserve">    </w:t>
      </w:r>
    </w:p>
    <w:p w:rsidR="00427821" w:rsidRPr="00427821" w:rsidRDefault="00427821" w:rsidP="00427821">
      <w:pPr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jc w:val="both"/>
        <w:rPr>
          <w:rFonts w:cs="David"/>
          <w:b/>
          <w:bCs/>
          <w:sz w:val="36"/>
          <w:szCs w:val="36"/>
          <w:u w:val="single"/>
          <w:rtl/>
        </w:rPr>
      </w:pPr>
      <w:r w:rsidRPr="00427821">
        <w:rPr>
          <w:rFonts w:cs="David" w:hint="cs"/>
          <w:b/>
          <w:bCs/>
          <w:sz w:val="36"/>
          <w:szCs w:val="36"/>
          <w:u w:val="single"/>
          <w:rtl/>
        </w:rPr>
        <w:t>תהליך הבדיקות לגרור או נתמך</w:t>
      </w:r>
    </w:p>
    <w:p w:rsidR="00427821" w:rsidRPr="00427821" w:rsidRDefault="00427821" w:rsidP="00427821">
      <w:pPr>
        <w:jc w:val="both"/>
        <w:rPr>
          <w:rFonts w:cs="David"/>
          <w:b/>
          <w:bCs/>
          <w:sz w:val="36"/>
          <w:szCs w:val="36"/>
          <w:u w:val="single"/>
          <w:rtl/>
        </w:rPr>
      </w:pPr>
    </w:p>
    <w:p w:rsidR="00427821" w:rsidRPr="00427821" w:rsidRDefault="00427821" w:rsidP="00427821">
      <w:pPr>
        <w:numPr>
          <w:ilvl w:val="0"/>
          <w:numId w:val="21"/>
        </w:numPr>
        <w:jc w:val="both"/>
        <w:rPr>
          <w:rFonts w:cs="David"/>
          <w:b/>
          <w:bCs/>
          <w:sz w:val="32"/>
          <w:szCs w:val="32"/>
          <w:rtl/>
        </w:rPr>
      </w:pPr>
      <w:r w:rsidRPr="00427821">
        <w:rPr>
          <w:rFonts w:cs="David" w:hint="cs"/>
          <w:b/>
          <w:bCs/>
          <w:sz w:val="32"/>
          <w:szCs w:val="32"/>
          <w:rtl/>
        </w:rPr>
        <w:t>הכנת תיק ניירת לרישוי הכוללת:</w:t>
      </w:r>
    </w:p>
    <w:p w:rsidR="00427821" w:rsidRPr="00427821" w:rsidRDefault="00427821" w:rsidP="00427821">
      <w:pPr>
        <w:jc w:val="both"/>
        <w:rPr>
          <w:rFonts w:cs="David"/>
          <w:b/>
          <w:bCs/>
          <w:sz w:val="36"/>
          <w:szCs w:val="36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</w:rPr>
        <w:t>ADR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</w:rPr>
        <w:t>ABS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תאורה הקפית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מועד ייצור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רוחק סרנים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תעודת שקילה מהמתקין המורשה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הוראת רישום מטעם מחלקת התקינה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הצהרה כללית של היבואן/היצרן שהרכב המבוקש לרישום תואם לאב טיפוס שאושר ע"י רשות הרישוי לרישום בהתאם להוראת הרישום הנ"ל ותקנה 282 לתקנות התעבורה 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אביזרים שהותקנו על ידי היצרן בחו"ל כגון: פגוש אחורי, תאורת צד, מגיני צד, מגיני בוץ</w:t>
      </w: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רכב להובלת חומרים מסוכנים יחוייב להציג אישור הובלת חומרים מסוכנים מטעם מחלקת מטענים במשרד התחבורה</w:t>
      </w:r>
    </w:p>
    <w:p w:rsidR="00427821" w:rsidRPr="00427821" w:rsidRDefault="00427821" w:rsidP="00427821">
      <w:pPr>
        <w:spacing w:line="276" w:lineRule="auto"/>
        <w:ind w:left="360"/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1"/>
        </w:numPr>
        <w:spacing w:line="276" w:lineRule="auto"/>
        <w:jc w:val="both"/>
        <w:rPr>
          <w:rFonts w:cs="David"/>
          <w:b/>
          <w:bCs/>
          <w:sz w:val="28"/>
        </w:rPr>
      </w:pPr>
      <w:r w:rsidRPr="00427821">
        <w:rPr>
          <w:rFonts w:cs="David" w:hint="cs"/>
          <w:b/>
          <w:bCs/>
          <w:sz w:val="28"/>
          <w:rtl/>
        </w:rPr>
        <w:t>לתיק הרכב יש לצרף אישורי מתקין ארגזים מורשה: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b/>
          <w:bCs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תעודות שקילה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אישור מתקין מורשה המפרט את כל ההתקנות כגון מגיני צד, תאורת צד, מגיני בוץ, פגוש אחורי וביצוע ההתקנות עפ"י הנחיות יצרן ויבואן הרכב.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אישורים נוספים </w:t>
      </w:r>
      <w:r w:rsidRPr="00427821">
        <w:rPr>
          <w:rFonts w:cs="David"/>
          <w:sz w:val="28"/>
          <w:rtl/>
        </w:rPr>
        <w:t>–</w:t>
      </w:r>
      <w:r w:rsidRPr="00427821">
        <w:rPr>
          <w:rFonts w:cs="David" w:hint="cs"/>
          <w:sz w:val="28"/>
          <w:rtl/>
        </w:rPr>
        <w:t xml:space="preserve"> תעודת כיול מערכת קירור מבוקר, בדיקת מעבדה להובלת חומ"ס, תסקיר בודק מוסמך לאמצעי הרמה ועוד.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lastRenderedPageBreak/>
        <w:t>אישור להתקנת וו-גרירה מאחורי נתמך המיועד להובלה במסגרת רכבת כביש (מכלול תעבורה) המאושרת עפ"י תקנה 315 לתקנות התעבורה.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spacing w:line="276" w:lineRule="auto"/>
        <w:jc w:val="both"/>
        <w:rPr>
          <w:rFonts w:cs="David"/>
          <w:b/>
          <w:bCs/>
          <w:sz w:val="28"/>
          <w:u w:val="single"/>
          <w:rtl/>
        </w:rPr>
      </w:pPr>
      <w:r w:rsidRPr="00427821">
        <w:rPr>
          <w:rFonts w:cs="David" w:hint="cs"/>
          <w:b/>
          <w:bCs/>
          <w:sz w:val="28"/>
          <w:u w:val="single"/>
          <w:rtl/>
        </w:rPr>
        <w:t>תהליך הבדיקה במתחם היבואן</w:t>
      </w:r>
    </w:p>
    <w:p w:rsidR="00427821" w:rsidRPr="00427821" w:rsidRDefault="00427821" w:rsidP="00427821">
      <w:pPr>
        <w:spacing w:line="276" w:lineRule="auto"/>
        <w:jc w:val="both"/>
        <w:rPr>
          <w:rFonts w:cs="David"/>
          <w:b/>
          <w:bCs/>
          <w:sz w:val="28"/>
          <w:u w:val="single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הבדיקה תתבצע על ידי בודק שהוסמך בכתב על ידי אגף הרישוי לביצוע רישום ראשוני ורק לאחר שעבר הדרכה מתאימה.</w:t>
      </w:r>
    </w:p>
    <w:p w:rsidR="00427821" w:rsidRPr="00427821" w:rsidRDefault="00427821" w:rsidP="00427821">
      <w:pPr>
        <w:spacing w:line="276" w:lineRule="auto"/>
        <w:ind w:left="360"/>
        <w:jc w:val="both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את ממצאי הבדיקה יש לציין על גבי רש"ל 4+5 או על גבי טופס תואם רש"ל 4+5 ממוחשב והתאמת פרטים לאלו המופיעים בהוראת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לרשום את קודי הגבלות התקינה כפי שהן מופיעות בהוראת הרישום בסעיף תנאים והגבלות ולהדפיס נספח לרישיון הרכב.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b/>
          <w:bCs/>
          <w:sz w:val="28"/>
          <w:u w:val="single"/>
          <w:rtl/>
        </w:rPr>
      </w:pPr>
      <w:r w:rsidRPr="00427821">
        <w:rPr>
          <w:rFonts w:cs="David" w:hint="cs"/>
          <w:b/>
          <w:bCs/>
          <w:sz w:val="28"/>
          <w:u w:val="single"/>
          <w:rtl/>
        </w:rPr>
        <w:t>הבדיקה תכלול:</w:t>
      </w:r>
    </w:p>
    <w:p w:rsidR="00427821" w:rsidRPr="00427821" w:rsidRDefault="00427821" w:rsidP="00427821">
      <w:pPr>
        <w:spacing w:line="276" w:lineRule="auto"/>
        <w:jc w:val="both"/>
        <w:rPr>
          <w:rFonts w:cs="David"/>
          <w:b/>
          <w:bCs/>
          <w:sz w:val="28"/>
          <w:u w:val="single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b/>
          <w:bCs/>
          <w:sz w:val="28"/>
          <w:u w:val="single"/>
        </w:rPr>
      </w:pPr>
      <w:r w:rsidRPr="00427821">
        <w:rPr>
          <w:rFonts w:cs="David" w:hint="cs"/>
          <w:sz w:val="28"/>
          <w:rtl/>
        </w:rPr>
        <w:t>היבואן באמצעות הבודק שמוסמך לכך יקבע את סוג הרכב עפ"י הוראת הרישום, תקנות התעבורה וע"פ רשימת הסיווגים.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b/>
          <w:bCs/>
          <w:sz w:val="28"/>
          <w:u w:val="single"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לוודא קיום כל ההוראות המופיעות בהוראת הרישום לפיה נבדק הרכב.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לוודא התאמת הרכב להוראת הרישום ולשרטוט המצורף אליה.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מס' שילדה טבוע של הרכב ואימות באמצעות טבלת זיהוי מקורית שהוצמדה לרכב על ידי יצרן הרכב.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קיום תווית מקורית של היצרן בהתאם לדרישת הדירקטיבה הרלוונטית של הקהילה האירופאית </w:t>
      </w:r>
      <w:r w:rsidRPr="00427821">
        <w:rPr>
          <w:rFonts w:cs="David"/>
          <w:sz w:val="28"/>
        </w:rPr>
        <w:t>(WVTA)</w:t>
      </w:r>
      <w:r w:rsidRPr="00427821">
        <w:rPr>
          <w:rFonts w:cs="David" w:hint="cs"/>
          <w:sz w:val="28"/>
          <w:rtl/>
        </w:rPr>
        <w:t xml:space="preserve"> לרבות משקלים לאומיים.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קיום תווית מקורית של מערכת הבלמים בהתאם לתקינה אירופאית.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קיום תוית מקורית של מתקין ו/או יצרן הארגז לפי הנדרש בת"י 443.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מידת הצמיגים האחוריים כולל קוד מהירות וקוד עומס בכל הסרנים והתאמתו להוראת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לבצע מדידות ברכב עפ"י השרטוט הקיים בגב רש"ל 4+5 תוך הקפדה על אי חריגה מהתקנות ודרישות 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לציין מועד עליה לכביש עפ"י מסמכי המכס (רשימון)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לציין את צבע הרכב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ציון משקל כולל מותר עפ"י הוראת הרישום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ציון משקל עצמי בהתאם לתעודות השקילה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לבצע חישוב חלוקת משקלים בהתאם למיקום מרכז כובד ובתנאי שלא יחרוג ממשקלים מותרים על הסרן/סרנים.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זיהוי הסרנים עפ"י תווית מקורית והתאמת דגם הסרן להוראת הרישום.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ציון מס' סרנים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ציון מס' גלגלים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b/>
          <w:bCs/>
          <w:sz w:val="28"/>
          <w:u w:val="single"/>
        </w:rPr>
      </w:pPr>
      <w:r w:rsidRPr="00427821">
        <w:rPr>
          <w:rFonts w:cs="David" w:hint="cs"/>
          <w:b/>
          <w:bCs/>
          <w:sz w:val="28"/>
          <w:u w:val="single"/>
          <w:rtl/>
        </w:rPr>
        <w:t>המדידות יכללו: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b/>
          <w:bCs/>
          <w:sz w:val="28"/>
          <w:u w:val="single"/>
        </w:rPr>
      </w:pPr>
    </w:p>
    <w:p w:rsidR="00427821" w:rsidRPr="00427821" w:rsidRDefault="00427821" w:rsidP="00427821">
      <w:pPr>
        <w:numPr>
          <w:ilvl w:val="0"/>
          <w:numId w:val="19"/>
        </w:numPr>
        <w:spacing w:line="276" w:lineRule="auto"/>
        <w:jc w:val="both"/>
        <w:rPr>
          <w:rFonts w:cs="David"/>
          <w:b/>
          <w:bCs/>
          <w:sz w:val="28"/>
          <w:u w:val="single"/>
        </w:rPr>
      </w:pPr>
      <w:r w:rsidRPr="00427821">
        <w:rPr>
          <w:rFonts w:cs="David" w:hint="cs"/>
          <w:sz w:val="28"/>
          <w:rtl/>
        </w:rPr>
        <w:t>מידות הרכב בהתאם לתקנה 313 לתקנות התעבורה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b/>
          <w:bCs/>
          <w:sz w:val="28"/>
          <w:u w:val="single"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</w:rPr>
        <w:t>WB</w:t>
      </w:r>
      <w:r w:rsidRPr="00427821">
        <w:rPr>
          <w:rFonts w:cs="David" w:hint="cs"/>
          <w:sz w:val="28"/>
          <w:rtl/>
        </w:rPr>
        <w:t xml:space="preserve"> רוחק סרנים בגרור נמדד ממרכז סרן קדמי למרכז סרן אחורי/ למרכז הסרנים.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</w:rPr>
        <w:t>WB</w:t>
      </w:r>
      <w:r w:rsidRPr="00427821">
        <w:rPr>
          <w:rFonts w:cs="David" w:hint="cs"/>
          <w:sz w:val="28"/>
          <w:rtl/>
        </w:rPr>
        <w:t xml:space="preserve"> רוחק סרנים בנתמך נמדד ממרכז סרן או סרנים אחוריים לפין הגרירה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360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שלוחה אחורית - המדידה תחל ממרכז סרן אחורי או מרכז סרנים אחוריים עד לנקודה הרחוקה ביותר מאחורי הרכב ולא תחרוג מ-60% מרוחק סרנים ותתאים לתקנה 313 לתקנות התעבורה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מרכז כובד </w:t>
      </w:r>
      <w:r w:rsidRPr="00427821">
        <w:rPr>
          <w:rFonts w:cs="David"/>
          <w:sz w:val="28"/>
          <w:rtl/>
        </w:rPr>
        <w:t>–</w:t>
      </w:r>
      <w:r w:rsidRPr="00427821">
        <w:rPr>
          <w:rFonts w:cs="David" w:hint="cs"/>
          <w:sz w:val="28"/>
          <w:rtl/>
        </w:rPr>
        <w:t xml:space="preserve"> המדידה תחל ממרכז סרן אחורי או מרכז סרנים אחוריים עד לאמצע (המדויק) של משטח ההטענה (לא כולל דופן אחורית או דופן קדמית)</w:t>
      </w: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גובה משטח הטענה ברכב להובלת מכולות לא יעלה על 1.56 מ'</w:t>
      </w:r>
    </w:p>
    <w:p w:rsidR="00427821" w:rsidRPr="00427821" w:rsidRDefault="00427821" w:rsidP="00427821">
      <w:pPr>
        <w:spacing w:line="276" w:lineRule="auto"/>
        <w:jc w:val="both"/>
        <w:rPr>
          <w:rFonts w:cs="David"/>
          <w:sz w:val="28"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יש לציין בהיתרים ובהגבלות או בנספח לרישיון גם צמיגים של סרנים נוספים אם יש.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בסיום הבדיקה יחתום הבודק המוסמך בחתימה אישית על גבי רש"ל 4+5 וחותמת שתכלול את שמו המלא, מס' תעודת הזהות שלו ומספר הבודק (בחותמת יצוין לוגו של החברה ושם החברה עפ"י הדוגמא המצורפת) (נספח .........)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bookmarkStart w:id="2" w:name="_Hlk32418317"/>
      <w:r w:rsidRPr="00427821">
        <w:rPr>
          <w:rFonts w:cs="David" w:hint="cs"/>
          <w:sz w:val="28"/>
          <w:rtl/>
        </w:rPr>
        <w:t>הבודק המוסמך יאושר לבדוק רכב אך ורק של החברה שבה הוא מועסק.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lastRenderedPageBreak/>
        <w:t>בסיום כל הבדיקות שהוזכו לעיל, יש לשלוח את הרכב למבחן רישוי שנתי במכון רישוי מורשה חיצוני, אשר ינפיק גם את תווית המדבקה לחלון.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לאחר שהרכב עבר בהצלחה את המבחן השנתי, יש להעביר את כל המסמכים לפקידת הרישוי במתחם היבואן אשר הוסכמה על ידי האגף למערכות מידע וזאת לצורך רישום הרכב והדפסת רישיון קבוע.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ניתן לשלם את אגרת הרישוי בדואר או באחד הבנקים המסחריים, או באצעות כרטיס חכם באתר ממשל זמין </w:t>
      </w:r>
      <w:r w:rsidRPr="00427821">
        <w:rPr>
          <w:rFonts w:cs="David"/>
          <w:sz w:val="28"/>
        </w:rPr>
        <w:t>(gov.il)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במקרה של תקלה בעמדת הרישוי של היבואן, יועבר רש"ל 4+5 להדפסת רישיון הרכב במשרד הרישוי ללא צורך בבדיקה נוספת של בוחן העמדה הטכנית, כל יתר המסמכים ישמרו במתקני היבואן.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על יבואן הרכב לשמור את מסמכי הרכב בסריקה ממוחשבת לתקופה של 7 שנים לפחות.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 xml:space="preserve">לצורך התחברות למערכת החדשה, יש לפעול עפ"י נוהל </w:t>
      </w:r>
      <w:r w:rsidRPr="00427821">
        <w:rPr>
          <w:rFonts w:cs="David" w:hint="cs"/>
          <w:color w:val="C00000"/>
          <w:sz w:val="28"/>
          <w:rtl/>
        </w:rPr>
        <w:t>_______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רכב שנדרש לתוכנית חלוקת עומסים, ייבדק בשלב זה במחלקת תקינה, למעט מקרים בהם יוסמך היבואן או היצרן לבצע בדיקת תוכנית חלוקת עומסים.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numPr>
          <w:ilvl w:val="0"/>
          <w:numId w:val="22"/>
        </w:numPr>
        <w:spacing w:line="276" w:lineRule="auto"/>
        <w:jc w:val="both"/>
        <w:rPr>
          <w:rFonts w:cs="David"/>
          <w:sz w:val="28"/>
        </w:rPr>
      </w:pPr>
      <w:r w:rsidRPr="00427821">
        <w:rPr>
          <w:rFonts w:cs="David" w:hint="cs"/>
          <w:sz w:val="28"/>
          <w:rtl/>
        </w:rPr>
        <w:t>פיקוח על ביצוע הלכה למעשה של קיום ויישום הנוהל יהיה באחריות מינהל תנועה.</w:t>
      </w:r>
    </w:p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427821" w:rsidRPr="00427821" w:rsidRDefault="00427821" w:rsidP="00427821">
      <w:pPr>
        <w:spacing w:line="276" w:lineRule="auto"/>
        <w:ind w:left="720"/>
        <w:jc w:val="both"/>
        <w:rPr>
          <w:rFonts w:cs="David"/>
          <w:sz w:val="28"/>
        </w:rPr>
      </w:pPr>
    </w:p>
    <w:bookmarkEnd w:id="2"/>
    <w:p w:rsidR="00427821" w:rsidRPr="00427821" w:rsidRDefault="00427821" w:rsidP="00427821">
      <w:pPr>
        <w:ind w:left="720"/>
        <w:rPr>
          <w:rFonts w:cs="David"/>
          <w:sz w:val="28"/>
          <w:rtl/>
        </w:rPr>
      </w:pPr>
    </w:p>
    <w:p w:rsidR="00A11AE0" w:rsidRDefault="00A11AE0" w:rsidP="00A11AE0">
      <w:pPr>
        <w:jc w:val="both"/>
        <w:rPr>
          <w:rFonts w:cs="David"/>
          <w:sz w:val="28"/>
          <w:rtl/>
        </w:rPr>
      </w:pPr>
    </w:p>
    <w:p w:rsidR="00A11AE0" w:rsidRDefault="00A11AE0" w:rsidP="00A11AE0">
      <w:pPr>
        <w:jc w:val="both"/>
        <w:rPr>
          <w:rFonts w:cs="David"/>
          <w:sz w:val="28"/>
          <w:rtl/>
        </w:rPr>
      </w:pPr>
    </w:p>
    <w:p w:rsidR="00FA3BBC" w:rsidRDefault="00FA3BBC" w:rsidP="00FA3BBC">
      <w:pPr>
        <w:jc w:val="both"/>
        <w:rPr>
          <w:rFonts w:cs="David"/>
          <w:sz w:val="28"/>
          <w:rtl/>
        </w:rPr>
      </w:pPr>
    </w:p>
    <w:p w:rsidR="0017184E" w:rsidRDefault="0017184E" w:rsidP="0017184E">
      <w:pPr>
        <w:jc w:val="both"/>
        <w:rPr>
          <w:rFonts w:cs="David"/>
          <w:sz w:val="28"/>
          <w:rtl/>
        </w:rPr>
      </w:pPr>
      <w:r>
        <w:rPr>
          <w:rFonts w:cs="David"/>
          <w:sz w:val="28"/>
          <w:rtl/>
        </w:rPr>
        <w:t xml:space="preserve"> </w:t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  <w:t xml:space="preserve">       ב  ב  ר  כ  ה  ,</w:t>
      </w:r>
    </w:p>
    <w:p w:rsidR="0017184E" w:rsidRDefault="0017184E" w:rsidP="0017184E">
      <w:pPr>
        <w:jc w:val="both"/>
        <w:rPr>
          <w:rFonts w:cs="David"/>
          <w:sz w:val="28"/>
          <w:rtl/>
        </w:rPr>
      </w:pP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lang w:eastAsia="en-US"/>
        </w:rPr>
        <w:drawing>
          <wp:inline distT="0" distB="0" distL="0" distR="0">
            <wp:extent cx="1247775" cy="638175"/>
            <wp:effectExtent l="0" t="0" r="9525" b="9525"/>
            <wp:docPr id="1" name="תמונה 1" descr="cid:image001.png@01D15E8C.84827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png@01D15E8C.848276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4E" w:rsidRDefault="0017184E" w:rsidP="0017184E">
      <w:pPr>
        <w:jc w:val="both"/>
        <w:rPr>
          <w:rFonts w:cs="David"/>
          <w:sz w:val="28"/>
          <w:rtl/>
        </w:rPr>
      </w:pP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  <w:t xml:space="preserve">           אפי רוזן</w:t>
      </w:r>
    </w:p>
    <w:p w:rsidR="0017184E" w:rsidRDefault="0017184E" w:rsidP="0017184E">
      <w:pPr>
        <w:jc w:val="both"/>
        <w:rPr>
          <w:rFonts w:cs="David"/>
          <w:sz w:val="28"/>
          <w:rtl/>
        </w:rPr>
      </w:pP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</w:r>
      <w:r>
        <w:rPr>
          <w:rFonts w:cs="David"/>
          <w:sz w:val="28"/>
          <w:rtl/>
        </w:rPr>
        <w:tab/>
        <w:t>מנהל אגף בכיר רישוי</w:t>
      </w:r>
    </w:p>
    <w:p w:rsidR="001F4763" w:rsidRDefault="001F4763" w:rsidP="0017184E">
      <w:pPr>
        <w:jc w:val="both"/>
        <w:rPr>
          <w:rFonts w:cs="David"/>
          <w:sz w:val="28"/>
          <w:rtl/>
        </w:rPr>
      </w:pPr>
    </w:p>
    <w:p w:rsidR="001F4763" w:rsidRDefault="001F4763" w:rsidP="0017184E">
      <w:pPr>
        <w:jc w:val="both"/>
        <w:rPr>
          <w:rFonts w:cs="David"/>
          <w:sz w:val="28"/>
          <w:rtl/>
        </w:rPr>
      </w:pPr>
    </w:p>
    <w:p w:rsidR="001F4763" w:rsidRDefault="001F4763" w:rsidP="0017184E">
      <w:pPr>
        <w:jc w:val="both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העתק: הגב' קטי מורלי, מנהלת תחום, תאום נהלים ורישוי</w:t>
      </w:r>
    </w:p>
    <w:p w:rsidR="001F4763" w:rsidRDefault="001F4763" w:rsidP="0017184E">
      <w:pPr>
        <w:jc w:val="both"/>
        <w:rPr>
          <w:rFonts w:cs="David"/>
          <w:sz w:val="28"/>
          <w:rtl/>
        </w:rPr>
      </w:pPr>
    </w:p>
    <w:p w:rsidR="001F4763" w:rsidRDefault="001F4763" w:rsidP="0017184E">
      <w:pPr>
        <w:jc w:val="both"/>
        <w:rPr>
          <w:rFonts w:cs="David"/>
          <w:sz w:val="28"/>
          <w:rtl/>
        </w:rPr>
      </w:pPr>
    </w:p>
    <w:sectPr w:rsidR="001F4763" w:rsidSect="003F22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4E" w:rsidRDefault="0017184E" w:rsidP="0017184E">
      <w:r>
        <w:separator/>
      </w:r>
    </w:p>
  </w:endnote>
  <w:endnote w:type="continuationSeparator" w:id="0">
    <w:p w:rsidR="0017184E" w:rsidRDefault="0017184E" w:rsidP="001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4E" w:rsidRDefault="0017184E" w:rsidP="0017184E">
      <w:r>
        <w:separator/>
      </w:r>
    </w:p>
  </w:footnote>
  <w:footnote w:type="continuationSeparator" w:id="0">
    <w:p w:rsidR="0017184E" w:rsidRDefault="0017184E" w:rsidP="001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BBA"/>
    <w:multiLevelType w:val="hybridMultilevel"/>
    <w:tmpl w:val="200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6FC"/>
    <w:multiLevelType w:val="hybridMultilevel"/>
    <w:tmpl w:val="B72CA0B8"/>
    <w:lvl w:ilvl="0" w:tplc="5F8AAB5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8EC"/>
    <w:multiLevelType w:val="hybridMultilevel"/>
    <w:tmpl w:val="FF980B7C"/>
    <w:lvl w:ilvl="0" w:tplc="E82684E6">
      <w:start w:val="1"/>
      <w:numFmt w:val="decimal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4E771D"/>
    <w:multiLevelType w:val="hybridMultilevel"/>
    <w:tmpl w:val="94A86E98"/>
    <w:lvl w:ilvl="0" w:tplc="3110A5A0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C52A3"/>
    <w:multiLevelType w:val="hybridMultilevel"/>
    <w:tmpl w:val="2B18AFA4"/>
    <w:lvl w:ilvl="0" w:tplc="C0BC6D4E">
      <w:start w:val="1"/>
      <w:numFmt w:val="hebrew1"/>
      <w:lvlText w:val="%1."/>
      <w:lvlJc w:val="left"/>
      <w:pPr>
        <w:ind w:left="360" w:hanging="360"/>
      </w:pPr>
      <w:rPr>
        <w:b/>
        <w:bCs/>
        <w:strike w:val="0"/>
        <w:dstrike w:val="0"/>
        <w:color w:val="auto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332D0"/>
    <w:multiLevelType w:val="hybridMultilevel"/>
    <w:tmpl w:val="3C224D84"/>
    <w:lvl w:ilvl="0" w:tplc="3710D2C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40E8"/>
    <w:multiLevelType w:val="hybridMultilevel"/>
    <w:tmpl w:val="D220B648"/>
    <w:lvl w:ilvl="0" w:tplc="3F841A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652CC"/>
    <w:multiLevelType w:val="hybridMultilevel"/>
    <w:tmpl w:val="9F04D532"/>
    <w:lvl w:ilvl="0" w:tplc="8F30CC06">
      <w:start w:val="3"/>
      <w:numFmt w:val="bullet"/>
      <w:lvlText w:val="-"/>
      <w:lvlJc w:val="left"/>
      <w:pPr>
        <w:ind w:left="502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25EF"/>
    <w:multiLevelType w:val="hybridMultilevel"/>
    <w:tmpl w:val="2A903714"/>
    <w:lvl w:ilvl="0" w:tplc="1A3E3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D71"/>
    <w:multiLevelType w:val="hybridMultilevel"/>
    <w:tmpl w:val="74AECC1A"/>
    <w:lvl w:ilvl="0" w:tplc="382093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A33CB"/>
    <w:multiLevelType w:val="hybridMultilevel"/>
    <w:tmpl w:val="C5FE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581"/>
    <w:multiLevelType w:val="multilevel"/>
    <w:tmpl w:val="02F61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46160A"/>
    <w:multiLevelType w:val="hybridMultilevel"/>
    <w:tmpl w:val="EAE02458"/>
    <w:lvl w:ilvl="0" w:tplc="7AF819A4">
      <w:start w:val="1"/>
      <w:numFmt w:val="hebrew1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E5D1A58"/>
    <w:multiLevelType w:val="hybridMultilevel"/>
    <w:tmpl w:val="CB8AE93A"/>
    <w:lvl w:ilvl="0" w:tplc="D0223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10D8"/>
    <w:multiLevelType w:val="hybridMultilevel"/>
    <w:tmpl w:val="994807B2"/>
    <w:lvl w:ilvl="0" w:tplc="7BEC9C34">
      <w:start w:val="1"/>
      <w:numFmt w:val="hebrew1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B2654"/>
    <w:multiLevelType w:val="hybridMultilevel"/>
    <w:tmpl w:val="51C69382"/>
    <w:lvl w:ilvl="0" w:tplc="0AFA70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46A7"/>
    <w:multiLevelType w:val="hybridMultilevel"/>
    <w:tmpl w:val="27601590"/>
    <w:lvl w:ilvl="0" w:tplc="B6B4896A">
      <w:start w:val="1"/>
      <w:numFmt w:val="hebrew1"/>
      <w:lvlText w:val="%1."/>
      <w:lvlJc w:val="left"/>
      <w:pPr>
        <w:tabs>
          <w:tab w:val="num" w:pos="1429"/>
        </w:tabs>
        <w:ind w:left="1429" w:hanging="720"/>
      </w:pPr>
    </w:lvl>
    <w:lvl w:ilvl="1" w:tplc="AF18B81C">
      <w:start w:val="1"/>
      <w:numFmt w:val="hebrew1"/>
      <w:lvlText w:val="%2."/>
      <w:lvlJc w:val="left"/>
      <w:pPr>
        <w:tabs>
          <w:tab w:val="num" w:pos="1789"/>
        </w:tabs>
        <w:ind w:left="1789" w:hanging="360"/>
      </w:pPr>
    </w:lvl>
    <w:lvl w:ilvl="2" w:tplc="E126F892">
      <w:start w:val="1"/>
      <w:numFmt w:val="decimal"/>
      <w:lvlText w:val="%3."/>
      <w:lvlJc w:val="left"/>
      <w:pPr>
        <w:ind w:left="2689" w:hanging="360"/>
      </w:pPr>
    </w:lvl>
    <w:lvl w:ilvl="3" w:tplc="949833CE">
      <w:start w:val="10"/>
      <w:numFmt w:val="decimal"/>
      <w:lvlText w:val="%4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E923179"/>
    <w:multiLevelType w:val="hybridMultilevel"/>
    <w:tmpl w:val="FAC631E2"/>
    <w:lvl w:ilvl="0" w:tplc="A3A21788">
      <w:start w:val="1"/>
      <w:numFmt w:val="hebrew1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D7D2B"/>
    <w:multiLevelType w:val="hybridMultilevel"/>
    <w:tmpl w:val="D84E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20283"/>
    <w:multiLevelType w:val="hybridMultilevel"/>
    <w:tmpl w:val="30905CEA"/>
    <w:lvl w:ilvl="0" w:tplc="58B2FC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485"/>
    <w:multiLevelType w:val="hybridMultilevel"/>
    <w:tmpl w:val="C5C24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0A6E75"/>
    <w:multiLevelType w:val="hybridMultilevel"/>
    <w:tmpl w:val="5126A926"/>
    <w:lvl w:ilvl="0" w:tplc="7B76DD8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9"/>
  </w:num>
  <w:num w:numId="17">
    <w:abstractNumId w:val="6"/>
  </w:num>
  <w:num w:numId="18">
    <w:abstractNumId w:val="8"/>
  </w:num>
  <w:num w:numId="19">
    <w:abstractNumId w:val="7"/>
  </w:num>
  <w:num w:numId="20">
    <w:abstractNumId w:val="13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4E"/>
    <w:rsid w:val="00013207"/>
    <w:rsid w:val="000C5F64"/>
    <w:rsid w:val="001275B4"/>
    <w:rsid w:val="0013351C"/>
    <w:rsid w:val="00140845"/>
    <w:rsid w:val="0017184E"/>
    <w:rsid w:val="001C1C80"/>
    <w:rsid w:val="001F4763"/>
    <w:rsid w:val="00211549"/>
    <w:rsid w:val="002408FE"/>
    <w:rsid w:val="00286D5F"/>
    <w:rsid w:val="003A6BC8"/>
    <w:rsid w:val="003F2219"/>
    <w:rsid w:val="00427821"/>
    <w:rsid w:val="00445200"/>
    <w:rsid w:val="004579C3"/>
    <w:rsid w:val="00485086"/>
    <w:rsid w:val="004A37AD"/>
    <w:rsid w:val="004D2DFC"/>
    <w:rsid w:val="00584534"/>
    <w:rsid w:val="00595F49"/>
    <w:rsid w:val="005C2F7A"/>
    <w:rsid w:val="006B54D0"/>
    <w:rsid w:val="006B62F7"/>
    <w:rsid w:val="006D3A3E"/>
    <w:rsid w:val="00702B45"/>
    <w:rsid w:val="007107A0"/>
    <w:rsid w:val="007F5E8F"/>
    <w:rsid w:val="00857826"/>
    <w:rsid w:val="0093170D"/>
    <w:rsid w:val="00952645"/>
    <w:rsid w:val="009B751B"/>
    <w:rsid w:val="009C0141"/>
    <w:rsid w:val="009D73EE"/>
    <w:rsid w:val="00A11AE0"/>
    <w:rsid w:val="00A62E06"/>
    <w:rsid w:val="00B10AAD"/>
    <w:rsid w:val="00BA31C1"/>
    <w:rsid w:val="00BF4A64"/>
    <w:rsid w:val="00C32672"/>
    <w:rsid w:val="00ED5A50"/>
    <w:rsid w:val="00EE7451"/>
    <w:rsid w:val="00EF4A42"/>
    <w:rsid w:val="00F05497"/>
    <w:rsid w:val="00F21D47"/>
    <w:rsid w:val="00F33AE7"/>
    <w:rsid w:val="00F42688"/>
    <w:rsid w:val="00F5434E"/>
    <w:rsid w:val="00F60C41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32CB"/>
  <w15:chartTrackingRefBased/>
  <w15:docId w15:val="{EB567F28-64EF-401F-BD33-FD36F7F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4E"/>
    <w:pPr>
      <w:bidi/>
      <w:spacing w:after="0" w:line="240" w:lineRule="auto"/>
    </w:pPr>
    <w:rPr>
      <w:rFonts w:ascii="Times New Roman" w:eastAsia="Times New Roman" w:hAnsi="Times New Roman" w:cs="Narkisim"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17184E"/>
    <w:rPr>
      <w:color w:val="0563C1"/>
      <w:u w:val="single"/>
    </w:rPr>
  </w:style>
  <w:style w:type="paragraph" w:styleId="a3">
    <w:name w:val="header"/>
    <w:basedOn w:val="a"/>
    <w:link w:val="a4"/>
    <w:unhideWhenUsed/>
    <w:rsid w:val="0017184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7184E"/>
    <w:rPr>
      <w:rFonts w:ascii="Times New Roman" w:eastAsia="Times New Roman" w:hAnsi="Times New Roman" w:cs="Narkisim"/>
      <w:noProof/>
      <w:sz w:val="20"/>
      <w:szCs w:val="28"/>
      <w:lang w:eastAsia="he-IL"/>
    </w:rPr>
  </w:style>
  <w:style w:type="paragraph" w:styleId="a5">
    <w:name w:val="List Paragraph"/>
    <w:basedOn w:val="a"/>
    <w:uiPriority w:val="34"/>
    <w:qFormat/>
    <w:rsid w:val="0017184E"/>
    <w:pPr>
      <w:ind w:left="720"/>
    </w:pPr>
  </w:style>
  <w:style w:type="paragraph" w:styleId="a6">
    <w:name w:val="footer"/>
    <w:basedOn w:val="a"/>
    <w:link w:val="a7"/>
    <w:uiPriority w:val="99"/>
    <w:unhideWhenUsed/>
    <w:rsid w:val="0017184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7184E"/>
    <w:rPr>
      <w:rFonts w:ascii="Times New Roman" w:eastAsia="Times New Roman" w:hAnsi="Times New Roman" w:cs="Narkisim"/>
      <w:noProof/>
      <w:sz w:val="20"/>
      <w:szCs w:val="28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44520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5200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1396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Transportation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קטי מורלי</dc:creator>
  <cp:keywords/>
  <dc:description/>
  <cp:lastModifiedBy>קטי מורלי</cp:lastModifiedBy>
  <cp:revision>5</cp:revision>
  <cp:lastPrinted>2020-03-16T12:55:00Z</cp:lastPrinted>
  <dcterms:created xsi:type="dcterms:W3CDTF">2020-04-19T08:51:00Z</dcterms:created>
  <dcterms:modified xsi:type="dcterms:W3CDTF">2020-04-19T09:58:00Z</dcterms:modified>
</cp:coreProperties>
</file>